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856" w:rsidRDefault="00BC3920">
      <w:r>
        <w:rPr>
          <w:noProof/>
        </w:rPr>
        <w:drawing>
          <wp:inline distT="0" distB="0" distL="0" distR="0" wp14:anchorId="603EA3BF" wp14:editId="5E1CCF05">
            <wp:extent cx="5191126" cy="3419476"/>
            <wp:effectExtent l="0" t="0" r="9525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4D58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920"/>
    <w:rsid w:val="004D5856"/>
    <w:rsid w:val="00BC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9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9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ingfisher%20PM%20Policy\Survey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GP Practice</a:t>
            </a:r>
            <a:r>
              <a:rPr lang="en-US" baseline="0"/>
              <a:t> Manager Salaries % by list size</a:t>
            </a:r>
            <a:endParaRPr lang="en-US"/>
          </a:p>
        </c:rich>
      </c:tx>
      <c:layout>
        <c:manualLayout>
          <c:xMode val="edge"/>
          <c:yMode val="edge"/>
          <c:x val="0.10824455199980737"/>
          <c:y val="3.342618384401114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9932654289773413"/>
          <c:y val="0.13779951600757426"/>
          <c:w val="0.64220729760749407"/>
          <c:h val="0.517156722258030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Sheet16!$K$120</c:f>
              <c:strCache>
                <c:ptCount val="1"/>
                <c:pt idx="0">
                  <c:v>Under 5,000</c:v>
                </c:pt>
              </c:strCache>
            </c:strRef>
          </c:tx>
          <c:invertIfNegative val="0"/>
          <c:cat>
            <c:strRef>
              <c:f>Sheet16!$J$121:$J$126</c:f>
              <c:strCache>
                <c:ptCount val="6"/>
                <c:pt idx="0">
                  <c:v>Over £45k</c:v>
                </c:pt>
                <c:pt idx="1">
                  <c:v>Under £45k</c:v>
                </c:pt>
                <c:pt idx="2">
                  <c:v>Under £40k</c:v>
                </c:pt>
                <c:pt idx="3">
                  <c:v>Under £35k</c:v>
                </c:pt>
                <c:pt idx="4">
                  <c:v>Under £30k</c:v>
                </c:pt>
                <c:pt idx="5">
                  <c:v>Under £25k</c:v>
                </c:pt>
              </c:strCache>
            </c:strRef>
          </c:cat>
          <c:val>
            <c:numRef>
              <c:f>Sheet16!$K$121:$K$126</c:f>
              <c:numCache>
                <c:formatCode>0%</c:formatCode>
                <c:ptCount val="6"/>
                <c:pt idx="0">
                  <c:v>0.12495365220615499</c:v>
                </c:pt>
                <c:pt idx="1">
                  <c:v>0</c:v>
                </c:pt>
                <c:pt idx="2">
                  <c:v>0.20837968112717836</c:v>
                </c:pt>
                <c:pt idx="3">
                  <c:v>0.24990730441230999</c:v>
                </c:pt>
                <c:pt idx="4">
                  <c:v>0.12495365220615499</c:v>
                </c:pt>
                <c:pt idx="5">
                  <c:v>0.29180571004820172</c:v>
                </c:pt>
              </c:numCache>
            </c:numRef>
          </c:val>
        </c:ser>
        <c:ser>
          <c:idx val="1"/>
          <c:order val="1"/>
          <c:tx>
            <c:strRef>
              <c:f>Sheet16!$L$120</c:f>
              <c:strCache>
                <c:ptCount val="1"/>
                <c:pt idx="0">
                  <c:v>Under 10,000</c:v>
                </c:pt>
              </c:strCache>
            </c:strRef>
          </c:tx>
          <c:invertIfNegative val="0"/>
          <c:cat>
            <c:strRef>
              <c:f>Sheet16!$J$121:$J$126</c:f>
              <c:strCache>
                <c:ptCount val="6"/>
                <c:pt idx="0">
                  <c:v>Over £45k</c:v>
                </c:pt>
                <c:pt idx="1">
                  <c:v>Under £45k</c:v>
                </c:pt>
                <c:pt idx="2">
                  <c:v>Under £40k</c:v>
                </c:pt>
                <c:pt idx="3">
                  <c:v>Under £35k</c:v>
                </c:pt>
                <c:pt idx="4">
                  <c:v>Under £30k</c:v>
                </c:pt>
                <c:pt idx="5">
                  <c:v>Under £25k</c:v>
                </c:pt>
              </c:strCache>
            </c:strRef>
          </c:cat>
          <c:val>
            <c:numRef>
              <c:f>Sheet16!$L$121:$L$126</c:f>
              <c:numCache>
                <c:formatCode>0%</c:formatCode>
                <c:ptCount val="6"/>
                <c:pt idx="0">
                  <c:v>0.13888888888888887</c:v>
                </c:pt>
                <c:pt idx="1">
                  <c:v>0.19444444444444442</c:v>
                </c:pt>
                <c:pt idx="2">
                  <c:v>0.30555555555555552</c:v>
                </c:pt>
                <c:pt idx="3">
                  <c:v>0.25</c:v>
                </c:pt>
                <c:pt idx="4">
                  <c:v>5.5555555555555552E-2</c:v>
                </c:pt>
                <c:pt idx="5">
                  <c:v>5.5555555555555552E-2</c:v>
                </c:pt>
              </c:numCache>
            </c:numRef>
          </c:val>
        </c:ser>
        <c:ser>
          <c:idx val="2"/>
          <c:order val="2"/>
          <c:tx>
            <c:strRef>
              <c:f>Sheet16!$M$120</c:f>
              <c:strCache>
                <c:ptCount val="1"/>
                <c:pt idx="0">
                  <c:v>Under 15,000</c:v>
                </c:pt>
              </c:strCache>
            </c:strRef>
          </c:tx>
          <c:invertIfNegative val="0"/>
          <c:cat>
            <c:strRef>
              <c:f>Sheet16!$J$121:$J$126</c:f>
              <c:strCache>
                <c:ptCount val="6"/>
                <c:pt idx="0">
                  <c:v>Over £45k</c:v>
                </c:pt>
                <c:pt idx="1">
                  <c:v>Under £45k</c:v>
                </c:pt>
                <c:pt idx="2">
                  <c:v>Under £40k</c:v>
                </c:pt>
                <c:pt idx="3">
                  <c:v>Under £35k</c:v>
                </c:pt>
                <c:pt idx="4">
                  <c:v>Under £30k</c:v>
                </c:pt>
                <c:pt idx="5">
                  <c:v>Under £25k</c:v>
                </c:pt>
              </c:strCache>
            </c:strRef>
          </c:cat>
          <c:val>
            <c:numRef>
              <c:f>Sheet16!$M$121:$M$126</c:f>
              <c:numCache>
                <c:formatCode>0%</c:formatCode>
                <c:ptCount val="6"/>
                <c:pt idx="0">
                  <c:v>0.45833333333333331</c:v>
                </c:pt>
                <c:pt idx="1">
                  <c:v>0.25</c:v>
                </c:pt>
                <c:pt idx="2">
                  <c:v>0.25</c:v>
                </c:pt>
                <c:pt idx="3">
                  <c:v>4.1666666666666671E-2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3"/>
          <c:order val="3"/>
          <c:tx>
            <c:strRef>
              <c:f>Sheet16!$N$120</c:f>
              <c:strCache>
                <c:ptCount val="1"/>
                <c:pt idx="0">
                  <c:v>Over 15.000</c:v>
                </c:pt>
              </c:strCache>
            </c:strRef>
          </c:tx>
          <c:invertIfNegative val="0"/>
          <c:cat>
            <c:strRef>
              <c:f>Sheet16!$J$121:$J$126</c:f>
              <c:strCache>
                <c:ptCount val="6"/>
                <c:pt idx="0">
                  <c:v>Over £45k</c:v>
                </c:pt>
                <c:pt idx="1">
                  <c:v>Under £45k</c:v>
                </c:pt>
                <c:pt idx="2">
                  <c:v>Under £40k</c:v>
                </c:pt>
                <c:pt idx="3">
                  <c:v>Under £35k</c:v>
                </c:pt>
                <c:pt idx="4">
                  <c:v>Under £30k</c:v>
                </c:pt>
                <c:pt idx="5">
                  <c:v>Under £25k</c:v>
                </c:pt>
              </c:strCache>
            </c:strRef>
          </c:cat>
          <c:val>
            <c:numRef>
              <c:f>Sheet16!$N$121:$N$126</c:f>
              <c:numCache>
                <c:formatCode>0%</c:formatCode>
                <c:ptCount val="6"/>
                <c:pt idx="0">
                  <c:v>0.8</c:v>
                </c:pt>
                <c:pt idx="1">
                  <c:v>0.2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088256"/>
        <c:axId val="123098240"/>
      </c:barChart>
      <c:catAx>
        <c:axId val="123088256"/>
        <c:scaling>
          <c:orientation val="minMax"/>
        </c:scaling>
        <c:delete val="0"/>
        <c:axPos val="b"/>
        <c:majorTickMark val="out"/>
        <c:minorTickMark val="none"/>
        <c:tickLblPos val="nextTo"/>
        <c:crossAx val="123098240"/>
        <c:crosses val="autoZero"/>
        <c:auto val="1"/>
        <c:lblAlgn val="ctr"/>
        <c:lblOffset val="100"/>
        <c:noMultiLvlLbl val="0"/>
      </c:catAx>
      <c:valAx>
        <c:axId val="1230982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308825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Robert</cp:lastModifiedBy>
  <cp:revision>1</cp:revision>
  <dcterms:created xsi:type="dcterms:W3CDTF">2015-07-11T17:01:00Z</dcterms:created>
  <dcterms:modified xsi:type="dcterms:W3CDTF">2015-07-11T17:02:00Z</dcterms:modified>
</cp:coreProperties>
</file>